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8F" w:rsidRPr="006F112E" w:rsidRDefault="001E78EF" w:rsidP="006F112E">
      <w:pPr>
        <w:pStyle w:val="NoSpacing"/>
        <w:jc w:val="center"/>
        <w:rPr>
          <w:sz w:val="40"/>
          <w:szCs w:val="40"/>
        </w:rPr>
      </w:pPr>
      <w:r w:rsidRPr="006F112E">
        <w:rPr>
          <w:sz w:val="40"/>
          <w:szCs w:val="40"/>
        </w:rPr>
        <w:t>World Geography</w:t>
      </w:r>
    </w:p>
    <w:p w:rsidR="001E78EF" w:rsidRPr="006F112E" w:rsidRDefault="00A01A3C" w:rsidP="006F112E">
      <w:pPr>
        <w:pStyle w:val="NoSpacing"/>
        <w:jc w:val="center"/>
        <w:rPr>
          <w:sz w:val="40"/>
          <w:szCs w:val="40"/>
        </w:rPr>
      </w:pPr>
      <w:r w:rsidRPr="006F112E">
        <w:rPr>
          <w:sz w:val="40"/>
          <w:szCs w:val="40"/>
        </w:rPr>
        <w:t>Unit 4</w:t>
      </w:r>
      <w:r w:rsidR="001E78EF" w:rsidRPr="006F112E">
        <w:rPr>
          <w:sz w:val="40"/>
          <w:szCs w:val="40"/>
        </w:rPr>
        <w:t xml:space="preserve"> Plan,</w:t>
      </w:r>
      <w:r w:rsidR="00940AA5">
        <w:rPr>
          <w:sz w:val="40"/>
          <w:szCs w:val="40"/>
        </w:rPr>
        <w:t xml:space="preserve"> Population Geography</w:t>
      </w:r>
      <w:r w:rsidR="001E78EF" w:rsidRPr="006F112E">
        <w:rPr>
          <w:sz w:val="40"/>
          <w:szCs w:val="40"/>
        </w:rPr>
        <w:t xml:space="preserve"> </w:t>
      </w:r>
    </w:p>
    <w:p w:rsidR="00AE2369" w:rsidRDefault="00AE2369" w:rsidP="000D52DA">
      <w:pPr>
        <w:pStyle w:val="NoSpacing"/>
        <w:rPr>
          <w:b/>
          <w:sz w:val="28"/>
          <w:szCs w:val="28"/>
        </w:rPr>
      </w:pPr>
    </w:p>
    <w:p w:rsidR="00940AA5" w:rsidRPr="00940AA5" w:rsidRDefault="000D52DA" w:rsidP="00940AA5">
      <w:pPr>
        <w:pStyle w:val="NoSpacing"/>
        <w:rPr>
          <w:b/>
          <w:sz w:val="28"/>
          <w:szCs w:val="28"/>
        </w:rPr>
      </w:pPr>
      <w:r>
        <w:rPr>
          <w:b/>
          <w:sz w:val="28"/>
          <w:szCs w:val="28"/>
        </w:rPr>
        <w:t>STANDARDS for Unit 4</w:t>
      </w:r>
      <w:r w:rsidR="00940AA5">
        <w:rPr>
          <w:b/>
          <w:sz w:val="28"/>
          <w:szCs w:val="28"/>
        </w:rPr>
        <w:t xml:space="preserve">:  </w:t>
      </w:r>
      <w:r w:rsidR="00940AA5" w:rsidRPr="00940AA5">
        <w:rPr>
          <w:b/>
        </w:rPr>
        <w:t>Population Geography</w:t>
      </w:r>
      <w:r w:rsidR="00940AA5" w:rsidRPr="00940AA5">
        <w:t xml:space="preserve"> </w:t>
      </w:r>
    </w:p>
    <w:p w:rsidR="00940AA5" w:rsidRPr="00940AA5" w:rsidRDefault="00940AA5" w:rsidP="00940AA5">
      <w:pPr>
        <w:pStyle w:val="Default"/>
        <w:rPr>
          <w:rFonts w:asciiTheme="minorHAnsi" w:hAnsiTheme="minorHAnsi" w:cstheme="minorBidi"/>
          <w:color w:val="auto"/>
        </w:rPr>
      </w:pPr>
      <w:r w:rsidRPr="00940AA5">
        <w:rPr>
          <w:rFonts w:asciiTheme="minorHAnsi" w:hAnsiTheme="minorHAnsi" w:cstheme="minorBidi"/>
          <w:color w:val="auto"/>
        </w:rPr>
        <w:t xml:space="preserve"> </w:t>
      </w:r>
    </w:p>
    <w:p w:rsidR="00940AA5" w:rsidRDefault="00940AA5" w:rsidP="00940AA5">
      <w:pPr>
        <w:pStyle w:val="Default"/>
        <w:rPr>
          <w:rFonts w:asciiTheme="minorHAnsi" w:hAnsiTheme="minorHAnsi" w:cstheme="minorBidi"/>
          <w:color w:val="auto"/>
        </w:rPr>
      </w:pPr>
      <w:r w:rsidRPr="00940AA5">
        <w:rPr>
          <w:rFonts w:asciiTheme="minorHAnsi" w:hAnsiTheme="minorHAnsi" w:cstheme="minorBidi"/>
          <w:color w:val="auto"/>
        </w:rPr>
        <w:t xml:space="preserve">SSWG4 Assess the characteristics, spatial distribution, and migration of human populations on the earth’s surface. </w:t>
      </w:r>
    </w:p>
    <w:p w:rsidR="00940AA5" w:rsidRDefault="00940AA5" w:rsidP="00940AA5">
      <w:pPr>
        <w:pStyle w:val="Default"/>
        <w:ind w:firstLine="720"/>
        <w:rPr>
          <w:rFonts w:asciiTheme="minorHAnsi" w:hAnsiTheme="minorHAnsi" w:cstheme="minorBidi"/>
          <w:color w:val="auto"/>
        </w:rPr>
      </w:pPr>
      <w:r w:rsidRPr="00940AA5">
        <w:rPr>
          <w:rFonts w:asciiTheme="minorHAnsi" w:hAnsiTheme="minorHAnsi" w:cstheme="minorBidi"/>
          <w:color w:val="auto"/>
        </w:rPr>
        <w:t xml:space="preserve">a. Assess demographic patterns of population using graphs, maps, and other models (e.g., Demographic Transition Model, population density maps, and global migration patterns). </w:t>
      </w:r>
    </w:p>
    <w:p w:rsidR="00940AA5" w:rsidRDefault="00940AA5" w:rsidP="00940AA5">
      <w:pPr>
        <w:pStyle w:val="Default"/>
        <w:ind w:firstLine="720"/>
        <w:rPr>
          <w:rFonts w:asciiTheme="minorHAnsi" w:hAnsiTheme="minorHAnsi" w:cstheme="minorBidi"/>
          <w:color w:val="auto"/>
        </w:rPr>
      </w:pPr>
      <w:r w:rsidRPr="00940AA5">
        <w:rPr>
          <w:rFonts w:asciiTheme="minorHAnsi" w:hAnsiTheme="minorHAnsi" w:cstheme="minorBidi"/>
          <w:color w:val="auto"/>
        </w:rPr>
        <w:t xml:space="preserve">b. Analyze population issues in reference to pro and anti-natal policies of different countries and their effects on population characteristics (e.g., China’s </w:t>
      </w:r>
      <w:proofErr w:type="spellStart"/>
      <w:r w:rsidRPr="00940AA5">
        <w:rPr>
          <w:rFonts w:asciiTheme="minorHAnsi" w:hAnsiTheme="minorHAnsi" w:cstheme="minorBidi"/>
          <w:color w:val="auto"/>
        </w:rPr>
        <w:t>natalist</w:t>
      </w:r>
      <w:proofErr w:type="spellEnd"/>
      <w:r w:rsidRPr="00940AA5">
        <w:rPr>
          <w:rFonts w:asciiTheme="minorHAnsi" w:hAnsiTheme="minorHAnsi" w:cstheme="minorBidi"/>
          <w:color w:val="auto"/>
        </w:rPr>
        <w:t xml:space="preserve"> policy, maternity/paternity leave policies, and child subsidies). </w:t>
      </w:r>
    </w:p>
    <w:p w:rsidR="00940AA5" w:rsidRDefault="00940AA5" w:rsidP="00940AA5">
      <w:pPr>
        <w:pStyle w:val="Default"/>
        <w:ind w:firstLine="720"/>
        <w:rPr>
          <w:rFonts w:asciiTheme="minorHAnsi" w:hAnsiTheme="minorHAnsi" w:cstheme="minorBidi"/>
          <w:color w:val="auto"/>
        </w:rPr>
      </w:pPr>
      <w:r w:rsidRPr="00940AA5">
        <w:rPr>
          <w:rFonts w:asciiTheme="minorHAnsi" w:hAnsiTheme="minorHAnsi" w:cstheme="minorBidi"/>
          <w:color w:val="auto"/>
        </w:rPr>
        <w:t xml:space="preserve">c. Explain how push and pull factors contribute to human migration patterns and evaluate the impact of migration on the use of resources and provision of services (e.g., guest workers, refugees, and evacuees). </w:t>
      </w:r>
    </w:p>
    <w:p w:rsidR="001E78EF" w:rsidRPr="00AE2369" w:rsidRDefault="00940AA5" w:rsidP="00940AA5">
      <w:pPr>
        <w:pStyle w:val="Default"/>
        <w:ind w:firstLine="720"/>
      </w:pPr>
      <w:r w:rsidRPr="00940AA5">
        <w:rPr>
          <w:rFonts w:asciiTheme="minorHAnsi" w:hAnsiTheme="minorHAnsi" w:cstheme="minorBidi"/>
          <w:color w:val="auto"/>
        </w:rPr>
        <w:t>d. Compare the response of different groups and governments to migration, including national migration policies and differing responses by local communities (e.g., quotas, amnesty, resettlement programs, and official language laws).</w:t>
      </w:r>
    </w:p>
    <w:p w:rsidR="00940AA5" w:rsidRDefault="00940AA5" w:rsidP="001E78EF">
      <w:pPr>
        <w:pStyle w:val="Default"/>
        <w:rPr>
          <w:b/>
        </w:rPr>
      </w:pPr>
    </w:p>
    <w:p w:rsidR="008D7BCC" w:rsidRPr="00AE2369" w:rsidRDefault="008D7BCC" w:rsidP="008D7BCC">
      <w:pPr>
        <w:pStyle w:val="Default"/>
        <w:rPr>
          <w:b/>
        </w:rPr>
      </w:pPr>
      <w:bookmarkStart w:id="0" w:name="_GoBack"/>
      <w:bookmarkEnd w:id="0"/>
      <w:r w:rsidRPr="00AE2369">
        <w:rPr>
          <w:b/>
        </w:rPr>
        <w:t>Daily Plans and Assignments</w:t>
      </w:r>
    </w:p>
    <w:p w:rsidR="008D7BCC" w:rsidRPr="00AE2369" w:rsidRDefault="008D7BCC" w:rsidP="008D7BCC">
      <w:pPr>
        <w:pStyle w:val="Default"/>
      </w:pPr>
    </w:p>
    <w:p w:rsidR="00940AA5" w:rsidRDefault="00940AA5" w:rsidP="008D7BCC">
      <w:pPr>
        <w:pStyle w:val="Default"/>
      </w:pPr>
      <w:r>
        <w:t>Mar 13</w:t>
      </w:r>
      <w:r w:rsidR="00DD581F">
        <w:t>—Europe Food Day</w:t>
      </w:r>
    </w:p>
    <w:p w:rsidR="008D7BCC" w:rsidRPr="00AE2369" w:rsidRDefault="00940AA5" w:rsidP="008D7BCC">
      <w:pPr>
        <w:pStyle w:val="Default"/>
      </w:pPr>
      <w:r>
        <w:t>Mar 14</w:t>
      </w:r>
      <w:r w:rsidR="008D7BCC" w:rsidRPr="00AE2369">
        <w:t xml:space="preserve"> – </w:t>
      </w:r>
      <w:r w:rsidR="00AD629E">
        <w:t xml:space="preserve">Population </w:t>
      </w:r>
      <w:proofErr w:type="gramStart"/>
      <w:r w:rsidR="00AD629E">
        <w:t>intro  pp</w:t>
      </w:r>
      <w:proofErr w:type="gramEnd"/>
      <w:r w:rsidR="00AD629E">
        <w:t>. 79, 528, 596</w:t>
      </w:r>
    </w:p>
    <w:p w:rsidR="00940AA5" w:rsidRDefault="00940AA5" w:rsidP="008D7BCC">
      <w:pPr>
        <w:pStyle w:val="Default"/>
      </w:pPr>
      <w:r>
        <w:t>Mar</w:t>
      </w:r>
      <w:r w:rsidR="00AE2369" w:rsidRPr="00AE2369">
        <w:t xml:space="preserve"> 15</w:t>
      </w:r>
      <w:r w:rsidR="008D7BCC" w:rsidRPr="00AE2369">
        <w:t>—</w:t>
      </w:r>
      <w:r w:rsidR="00AD629E">
        <w:t xml:space="preserve">Demographic Transition </w:t>
      </w:r>
      <w:proofErr w:type="gramStart"/>
      <w:r w:rsidR="00AD629E">
        <w:t>Model  pp</w:t>
      </w:r>
      <w:proofErr w:type="gramEnd"/>
      <w:r w:rsidR="00AD629E">
        <w:t>. 82, 142, 262</w:t>
      </w:r>
    </w:p>
    <w:p w:rsidR="00940AA5" w:rsidRDefault="00940AA5" w:rsidP="008D7BCC">
      <w:pPr>
        <w:pStyle w:val="Default"/>
      </w:pPr>
      <w:r>
        <w:t>Mar 18</w:t>
      </w:r>
      <w:r w:rsidR="00AD629E">
        <w:t xml:space="preserve">—Global Migration </w:t>
      </w:r>
      <w:proofErr w:type="gramStart"/>
      <w:r w:rsidR="00AD629E">
        <w:t>Patterns  pp</w:t>
      </w:r>
      <w:proofErr w:type="gramEnd"/>
      <w:r w:rsidR="00AD629E">
        <w:t>. 594-615</w:t>
      </w:r>
    </w:p>
    <w:p w:rsidR="00940AA5" w:rsidRDefault="00940AA5" w:rsidP="008D7BCC">
      <w:pPr>
        <w:pStyle w:val="Default"/>
      </w:pPr>
      <w:r>
        <w:t>Mar 19</w:t>
      </w:r>
      <w:r w:rsidR="00AD629E">
        <w:t xml:space="preserve">—World Policies on </w:t>
      </w:r>
      <w:proofErr w:type="spellStart"/>
      <w:proofErr w:type="gramStart"/>
      <w:r w:rsidR="00AD629E">
        <w:t>Natalist</w:t>
      </w:r>
      <w:proofErr w:type="spellEnd"/>
      <w:r w:rsidR="00AD629E">
        <w:t xml:space="preserve">  pp</w:t>
      </w:r>
      <w:proofErr w:type="gramEnd"/>
      <w:r w:rsidR="00AD629E">
        <w:t>. 594</w:t>
      </w:r>
    </w:p>
    <w:p w:rsidR="00AD629E" w:rsidRDefault="00940AA5" w:rsidP="008D7BCC">
      <w:pPr>
        <w:pStyle w:val="Default"/>
      </w:pPr>
      <w:r>
        <w:t>Mar 20</w:t>
      </w:r>
      <w:r w:rsidR="00AD629E">
        <w:t xml:space="preserve">—Maternity and </w:t>
      </w:r>
      <w:proofErr w:type="gramStart"/>
      <w:r w:rsidR="00AD629E">
        <w:t>Paternity  pp</w:t>
      </w:r>
      <w:proofErr w:type="gramEnd"/>
      <w:r w:rsidR="00AD629E">
        <w:t>. 639</w:t>
      </w:r>
    </w:p>
    <w:p w:rsidR="00940AA5" w:rsidRDefault="00940AA5" w:rsidP="008D7BCC">
      <w:pPr>
        <w:pStyle w:val="Default"/>
      </w:pPr>
      <w:r>
        <w:t>Mar 21</w:t>
      </w:r>
      <w:r w:rsidR="00AD629E">
        <w:t xml:space="preserve">—Push/Pull factors of </w:t>
      </w:r>
      <w:proofErr w:type="gramStart"/>
      <w:r w:rsidR="00AD629E">
        <w:t>Migration  pp</w:t>
      </w:r>
      <w:proofErr w:type="gramEnd"/>
      <w:r w:rsidR="00AD629E">
        <w:t>. 81, 135, 211</w:t>
      </w:r>
      <w:r>
        <w:br/>
        <w:t>Mar 22</w:t>
      </w:r>
      <w:r w:rsidR="00AD629E">
        <w:t>—Guest Workers pp. 525-527</w:t>
      </w:r>
    </w:p>
    <w:p w:rsidR="008D7BCC" w:rsidRPr="00AE2369" w:rsidRDefault="00940AA5" w:rsidP="008D7BCC">
      <w:pPr>
        <w:pStyle w:val="Default"/>
      </w:pPr>
      <w:r>
        <w:t>Mar 25</w:t>
      </w:r>
      <w:r w:rsidR="008D7BCC" w:rsidRPr="00AE2369">
        <w:t xml:space="preserve">– </w:t>
      </w:r>
      <w:r w:rsidR="00AD629E">
        <w:t xml:space="preserve">Refugees and </w:t>
      </w:r>
      <w:proofErr w:type="gramStart"/>
      <w:r w:rsidR="00AD629E">
        <w:t>evacuees  pp</w:t>
      </w:r>
      <w:proofErr w:type="gramEnd"/>
      <w:r w:rsidR="00AD629E">
        <w:t>. 370-371, 517</w:t>
      </w:r>
    </w:p>
    <w:p w:rsidR="008D7BCC" w:rsidRPr="00AE2369" w:rsidRDefault="00940AA5" w:rsidP="008D7BCC">
      <w:pPr>
        <w:pStyle w:val="Default"/>
      </w:pPr>
      <w:r>
        <w:t>Mar</w:t>
      </w:r>
      <w:r w:rsidR="00AE2369" w:rsidRPr="00AE2369">
        <w:t xml:space="preserve"> 26</w:t>
      </w:r>
      <w:r w:rsidR="008D7BCC" w:rsidRPr="00AE2369">
        <w:t xml:space="preserve"> – </w:t>
      </w:r>
      <w:r w:rsidR="00AD629E">
        <w:t xml:space="preserve">Government </w:t>
      </w:r>
      <w:proofErr w:type="gramStart"/>
      <w:r w:rsidR="00AD629E">
        <w:t>responses  pp</w:t>
      </w:r>
      <w:proofErr w:type="gramEnd"/>
      <w:r w:rsidR="00AD629E">
        <w:t>. 211, 370-371</w:t>
      </w:r>
    </w:p>
    <w:p w:rsidR="008D7BCC" w:rsidRPr="00AE2369" w:rsidRDefault="00940AA5" w:rsidP="008D7BCC">
      <w:pPr>
        <w:pStyle w:val="Default"/>
      </w:pPr>
      <w:r>
        <w:t>Mar</w:t>
      </w:r>
      <w:r w:rsidR="00AE2369" w:rsidRPr="00AE2369">
        <w:t xml:space="preserve"> 27</w:t>
      </w:r>
      <w:r w:rsidR="008D7BCC" w:rsidRPr="00AE2369">
        <w:t xml:space="preserve"> – </w:t>
      </w:r>
      <w:r w:rsidR="00AD629E">
        <w:t xml:space="preserve">Quotas and </w:t>
      </w:r>
      <w:proofErr w:type="gramStart"/>
      <w:r w:rsidR="00AD629E">
        <w:t>resettlement  pp</w:t>
      </w:r>
      <w:proofErr w:type="gramEnd"/>
      <w:r w:rsidR="00AD629E">
        <w:t>. 525-527</w:t>
      </w:r>
    </w:p>
    <w:p w:rsidR="008D7BCC" w:rsidRPr="00AE2369" w:rsidRDefault="00940AA5" w:rsidP="008D7BCC">
      <w:pPr>
        <w:pStyle w:val="Default"/>
      </w:pPr>
      <w:r>
        <w:t>Mar</w:t>
      </w:r>
      <w:r w:rsidR="00AE2369" w:rsidRPr="00AE2369">
        <w:t xml:space="preserve"> 28</w:t>
      </w:r>
      <w:r w:rsidR="008D7BCC" w:rsidRPr="00AE2369">
        <w:t xml:space="preserve"> – </w:t>
      </w:r>
      <w:r w:rsidR="00AD629E">
        <w:t xml:space="preserve">Defining </w:t>
      </w:r>
      <w:proofErr w:type="gramStart"/>
      <w:r w:rsidR="00AD629E">
        <w:t>citizenship  pp</w:t>
      </w:r>
      <w:proofErr w:type="gramEnd"/>
      <w:r w:rsidR="00AD629E">
        <w:t>. 525-527</w:t>
      </w:r>
    </w:p>
    <w:p w:rsidR="008D7BCC" w:rsidRPr="00AE2369" w:rsidRDefault="00940AA5" w:rsidP="008D7BCC">
      <w:pPr>
        <w:pStyle w:val="Default"/>
      </w:pPr>
      <w:r>
        <w:t>Mar</w:t>
      </w:r>
      <w:r w:rsidR="00AE2369" w:rsidRPr="00AE2369">
        <w:t xml:space="preserve"> 2</w:t>
      </w:r>
      <w:r>
        <w:t>9</w:t>
      </w:r>
      <w:r w:rsidR="008D7BCC" w:rsidRPr="00AE2369">
        <w:t xml:space="preserve">-- Unit </w:t>
      </w:r>
      <w:r w:rsidR="00DD581F">
        <w:t xml:space="preserve">Test </w:t>
      </w:r>
    </w:p>
    <w:p w:rsidR="008D7BCC" w:rsidRDefault="008D7BCC" w:rsidP="001E78EF">
      <w:pPr>
        <w:pStyle w:val="Default"/>
      </w:pPr>
    </w:p>
    <w:p w:rsidR="001E78EF" w:rsidRDefault="00FD3DD5" w:rsidP="001E78EF">
      <w:pPr>
        <w:rPr>
          <w:b/>
          <w:sz w:val="24"/>
          <w:szCs w:val="24"/>
        </w:rPr>
      </w:pPr>
      <w:r w:rsidRPr="00AE2369">
        <w:rPr>
          <w:b/>
          <w:sz w:val="24"/>
          <w:szCs w:val="24"/>
        </w:rPr>
        <w:t>Places and Terms</w:t>
      </w:r>
    </w:p>
    <w:p w:rsidR="00AD629E" w:rsidRDefault="00AD629E" w:rsidP="00AD629E">
      <w:pPr>
        <w:pStyle w:val="NoSpacing"/>
        <w:sectPr w:rsidR="00AD629E" w:rsidSect="00FE0E8F">
          <w:pgSz w:w="12240" w:h="15840"/>
          <w:pgMar w:top="1440" w:right="1440" w:bottom="1440" w:left="1440" w:header="720" w:footer="720" w:gutter="0"/>
          <w:cols w:space="720"/>
          <w:docGrid w:linePitch="360"/>
        </w:sectPr>
      </w:pPr>
    </w:p>
    <w:p w:rsidR="00AD629E" w:rsidRDefault="00AD629E" w:rsidP="00AD629E">
      <w:pPr>
        <w:pStyle w:val="NoSpacing"/>
      </w:pPr>
      <w:r>
        <w:t>Quotas</w:t>
      </w:r>
    </w:p>
    <w:p w:rsidR="00AD629E" w:rsidRDefault="00AD629E" w:rsidP="00AD629E">
      <w:pPr>
        <w:pStyle w:val="NoSpacing"/>
      </w:pPr>
      <w:r>
        <w:t>Amnesty</w:t>
      </w:r>
    </w:p>
    <w:p w:rsidR="00AD629E" w:rsidRDefault="00AD629E" w:rsidP="00AD629E">
      <w:pPr>
        <w:pStyle w:val="NoSpacing"/>
      </w:pPr>
      <w:r>
        <w:t>Refugees</w:t>
      </w:r>
    </w:p>
    <w:p w:rsidR="00AD629E" w:rsidRDefault="00AD629E" w:rsidP="00AD629E">
      <w:pPr>
        <w:pStyle w:val="NoSpacing"/>
      </w:pPr>
      <w:r>
        <w:t>Migration</w:t>
      </w:r>
    </w:p>
    <w:p w:rsidR="00AD629E" w:rsidRDefault="00AD629E" w:rsidP="00AD629E">
      <w:pPr>
        <w:pStyle w:val="NoSpacing"/>
      </w:pPr>
      <w:r>
        <w:t>Push/Pull Factors</w:t>
      </w:r>
    </w:p>
    <w:p w:rsidR="00AD629E" w:rsidRDefault="00AD629E" w:rsidP="00AD629E">
      <w:pPr>
        <w:pStyle w:val="NoSpacing"/>
      </w:pPr>
      <w:r>
        <w:t>Demographic Transition Model</w:t>
      </w:r>
    </w:p>
    <w:p w:rsidR="00AD629E" w:rsidRDefault="00AD629E" w:rsidP="00AD629E">
      <w:pPr>
        <w:pStyle w:val="NoSpacing"/>
      </w:pPr>
      <w:r>
        <w:t>Population Density</w:t>
      </w:r>
    </w:p>
    <w:p w:rsidR="00AD629E" w:rsidRDefault="00AD629E" w:rsidP="00AD629E">
      <w:pPr>
        <w:pStyle w:val="NoSpacing"/>
      </w:pPr>
      <w:r>
        <w:t>Population Pyramids</w:t>
      </w:r>
    </w:p>
    <w:p w:rsidR="00AD629E" w:rsidRDefault="00AD629E" w:rsidP="00AD629E">
      <w:pPr>
        <w:pStyle w:val="NoSpacing"/>
      </w:pPr>
      <w:proofErr w:type="spellStart"/>
      <w:r>
        <w:t>Natalistic</w:t>
      </w:r>
      <w:proofErr w:type="spellEnd"/>
      <w:r>
        <w:t xml:space="preserve"> policy</w:t>
      </w:r>
    </w:p>
    <w:p w:rsidR="00AD629E" w:rsidRDefault="00AD629E" w:rsidP="00AD629E">
      <w:pPr>
        <w:pStyle w:val="NoSpacing"/>
      </w:pPr>
      <w:r>
        <w:t>Maternity</w:t>
      </w:r>
    </w:p>
    <w:p w:rsidR="00AD629E" w:rsidRDefault="00AD629E" w:rsidP="00AD629E">
      <w:pPr>
        <w:pStyle w:val="NoSpacing"/>
      </w:pPr>
      <w:r>
        <w:t>Paternity</w:t>
      </w:r>
    </w:p>
    <w:p w:rsidR="00AD629E" w:rsidRDefault="00AD629E" w:rsidP="00AD629E">
      <w:pPr>
        <w:pStyle w:val="NoSpacing"/>
      </w:pPr>
      <w:r>
        <w:t>Subsidies</w:t>
      </w:r>
    </w:p>
    <w:p w:rsidR="00AD629E" w:rsidRDefault="00AD629E" w:rsidP="00AD629E">
      <w:pPr>
        <w:pStyle w:val="NoSpacing"/>
      </w:pPr>
      <w:r>
        <w:t>Evacuees</w:t>
      </w:r>
    </w:p>
    <w:p w:rsidR="00AD629E" w:rsidRDefault="00AD629E" w:rsidP="00AD629E">
      <w:pPr>
        <w:pStyle w:val="NoSpacing"/>
      </w:pPr>
      <w:r>
        <w:t>Guest Workers</w:t>
      </w:r>
    </w:p>
    <w:p w:rsidR="00AD629E" w:rsidRDefault="00AD629E" w:rsidP="00AD629E">
      <w:pPr>
        <w:pStyle w:val="NoSpacing"/>
      </w:pPr>
      <w:r>
        <w:t>Resettlement programs</w:t>
      </w:r>
    </w:p>
    <w:p w:rsidR="00AD629E" w:rsidRDefault="00AD629E" w:rsidP="00AD629E">
      <w:pPr>
        <w:pStyle w:val="NoSpacing"/>
        <w:sectPr w:rsidR="00AD629E" w:rsidSect="00AD629E">
          <w:type w:val="continuous"/>
          <w:pgSz w:w="12240" w:h="15840"/>
          <w:pgMar w:top="1440" w:right="1440" w:bottom="1440" w:left="1440" w:header="720" w:footer="720" w:gutter="0"/>
          <w:cols w:num="3" w:space="720"/>
          <w:docGrid w:linePitch="360"/>
        </w:sectPr>
      </w:pPr>
      <w:r>
        <w:t>Infrastructure</w:t>
      </w:r>
    </w:p>
    <w:p w:rsidR="00AD629E" w:rsidRPr="00AD629E" w:rsidRDefault="00AD629E" w:rsidP="00AD629E">
      <w:pPr>
        <w:pStyle w:val="NoSpacing"/>
      </w:pPr>
    </w:p>
    <w:sectPr w:rsidR="00AD629E" w:rsidRPr="00AD629E" w:rsidSect="00AD62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079E8"/>
    <w:multiLevelType w:val="hybridMultilevel"/>
    <w:tmpl w:val="89A04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EF"/>
    <w:rsid w:val="000D52DA"/>
    <w:rsid w:val="00192DF8"/>
    <w:rsid w:val="001E78EF"/>
    <w:rsid w:val="00331937"/>
    <w:rsid w:val="00437E7A"/>
    <w:rsid w:val="0044086F"/>
    <w:rsid w:val="004F7117"/>
    <w:rsid w:val="0055346C"/>
    <w:rsid w:val="005D35A0"/>
    <w:rsid w:val="006E6B47"/>
    <w:rsid w:val="006F112E"/>
    <w:rsid w:val="00760B0F"/>
    <w:rsid w:val="00852829"/>
    <w:rsid w:val="008A48E1"/>
    <w:rsid w:val="008D7BCC"/>
    <w:rsid w:val="00940AA5"/>
    <w:rsid w:val="00996EF7"/>
    <w:rsid w:val="00A01A3C"/>
    <w:rsid w:val="00AD629E"/>
    <w:rsid w:val="00AE2369"/>
    <w:rsid w:val="00B358F0"/>
    <w:rsid w:val="00C02040"/>
    <w:rsid w:val="00C13D16"/>
    <w:rsid w:val="00C15EC2"/>
    <w:rsid w:val="00DD581F"/>
    <w:rsid w:val="00F16A27"/>
    <w:rsid w:val="00FD3DD5"/>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CA9"/>
  <w15:docId w15:val="{4460A09B-58FF-406C-923E-724BB1ED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8E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F112E"/>
    <w:pPr>
      <w:spacing w:after="0" w:line="240" w:lineRule="auto"/>
    </w:pPr>
  </w:style>
  <w:style w:type="paragraph" w:styleId="ListParagraph">
    <w:name w:val="List Paragraph"/>
    <w:basedOn w:val="Normal"/>
    <w:uiPriority w:val="34"/>
    <w:qFormat/>
    <w:rsid w:val="000D52D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Kent Simmons</cp:lastModifiedBy>
  <cp:revision>4</cp:revision>
  <cp:lastPrinted>2015-09-08T19:11:00Z</cp:lastPrinted>
  <dcterms:created xsi:type="dcterms:W3CDTF">2019-01-02T17:00:00Z</dcterms:created>
  <dcterms:modified xsi:type="dcterms:W3CDTF">2019-03-12T18:42:00Z</dcterms:modified>
</cp:coreProperties>
</file>